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54" w:rsidRDefault="001E5954">
      <w:pPr>
        <w:spacing w:line="360" w:lineRule="exact"/>
      </w:pPr>
    </w:p>
    <w:p w:rsidR="001E5954" w:rsidRDefault="001E5954">
      <w:pPr>
        <w:spacing w:line="360" w:lineRule="exact"/>
      </w:pPr>
    </w:p>
    <w:p w:rsidR="001E5954" w:rsidRDefault="00295B1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1456055</wp:posOffset>
                </wp:positionH>
                <wp:positionV relativeFrom="paragraph">
                  <wp:posOffset>18415</wp:posOffset>
                </wp:positionV>
                <wp:extent cx="2839085" cy="745490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954" w:rsidRDefault="00416544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  <w:spacing w:after="76" w:line="320" w:lineRule="exact"/>
                              <w:ind w:left="20"/>
                            </w:pPr>
                            <w:bookmarkStart w:id="0" w:name="bookmark1"/>
                            <w:r>
                              <w:rPr>
                                <w:rStyle w:val="64ptExact"/>
                                <w:b/>
                                <w:bCs/>
                              </w:rPr>
                              <w:t>ПОЛОЖЕНИЕ</w:t>
                            </w:r>
                            <w:bookmarkEnd w:id="0"/>
                          </w:p>
                          <w:p w:rsidR="001E5954" w:rsidRDefault="00416544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  <w:spacing w:after="0" w:line="389" w:lineRule="exact"/>
                              <w:ind w:left="20"/>
                            </w:pPr>
                            <w:bookmarkStart w:id="1" w:name="bookmark2"/>
                            <w:r>
                              <w:rPr>
                                <w:rStyle w:val="64ptExact"/>
                                <w:b/>
                                <w:bCs/>
                              </w:rPr>
                              <w:t xml:space="preserve">о </w:t>
                            </w:r>
                            <w:r>
                              <w:t>переводах и восстановлении</w:t>
                            </w:r>
                            <w:r>
                              <w:br/>
                              <w:t>в МГТУ им. Н.Э. Баумана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65pt;margin-top:1.45pt;width:223.55pt;height:58.7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3CrQ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" filled="f" stroked="f">
                <v:textbox style="mso-fit-shape-to-text:t" inset="0,0,0,0">
                  <w:txbxContent>
                    <w:p w:rsidR="001E5954" w:rsidRDefault="00416544">
                      <w:pPr>
                        <w:pStyle w:val="6"/>
                        <w:keepNext/>
                        <w:keepLines/>
                        <w:shd w:val="clear" w:color="auto" w:fill="auto"/>
                        <w:spacing w:after="76" w:line="320" w:lineRule="exact"/>
                        <w:ind w:left="20"/>
                      </w:pPr>
                      <w:bookmarkStart w:id="2" w:name="bookmark1"/>
                      <w:r>
                        <w:rPr>
                          <w:rStyle w:val="64ptExact"/>
                          <w:b/>
                          <w:bCs/>
                        </w:rPr>
                        <w:t>ПОЛОЖЕНИЕ</w:t>
                      </w:r>
                      <w:bookmarkEnd w:id="2"/>
                    </w:p>
                    <w:p w:rsidR="001E5954" w:rsidRDefault="00416544">
                      <w:pPr>
                        <w:pStyle w:val="6"/>
                        <w:keepNext/>
                        <w:keepLines/>
                        <w:shd w:val="clear" w:color="auto" w:fill="auto"/>
                        <w:spacing w:after="0" w:line="389" w:lineRule="exact"/>
                        <w:ind w:left="20"/>
                      </w:pPr>
                      <w:bookmarkStart w:id="3" w:name="bookmark2"/>
                      <w:r>
                        <w:rPr>
                          <w:rStyle w:val="64ptExact"/>
                          <w:b/>
                          <w:bCs/>
                        </w:rPr>
                        <w:t xml:space="preserve">о </w:t>
                      </w:r>
                      <w:r>
                        <w:t>переводах и восстановлении</w:t>
                      </w:r>
                      <w:r>
                        <w:br/>
                        <w:t>в МГТУ им. Н.Э. Баумана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954" w:rsidRDefault="001E5954">
      <w:pPr>
        <w:spacing w:line="360" w:lineRule="exact"/>
      </w:pPr>
    </w:p>
    <w:p w:rsidR="001E5954" w:rsidRDefault="001E5954">
      <w:pPr>
        <w:spacing w:line="360" w:lineRule="exact"/>
      </w:pPr>
    </w:p>
    <w:p w:rsidR="001E5954" w:rsidRDefault="001E5954">
      <w:pPr>
        <w:spacing w:line="360" w:lineRule="exact"/>
      </w:pPr>
    </w:p>
    <w:p w:rsidR="001E5954" w:rsidRDefault="001E5954">
      <w:pPr>
        <w:spacing w:line="597" w:lineRule="exact"/>
      </w:pPr>
    </w:p>
    <w:sdt>
      <w:sdtPr>
        <w:id w:val="-2124446070"/>
        <w:docPartObj>
          <w:docPartGallery w:val="Table of Content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sdtEndPr>
      <w:sdtContent>
        <w:p w:rsidR="00295B12" w:rsidRDefault="00295B12">
          <w:pPr>
            <w:pStyle w:val="af3"/>
            <w:rPr>
              <w:rFonts w:ascii="Times New Roman" w:hAnsi="Times New Roman" w:cs="Times New Roman"/>
            </w:rPr>
          </w:pPr>
          <w:r w:rsidRPr="00295B12">
            <w:rPr>
              <w:rFonts w:ascii="Times New Roman" w:hAnsi="Times New Roman" w:cs="Times New Roman"/>
            </w:rPr>
            <w:t>Оглавление</w:t>
          </w:r>
        </w:p>
        <w:p w:rsidR="00295B12" w:rsidRDefault="00295B12" w:rsidP="00295B12">
          <w:pPr>
            <w:rPr>
              <w:lang w:bidi="ar-SA"/>
            </w:rPr>
          </w:pPr>
        </w:p>
        <w:p w:rsidR="00295B12" w:rsidRPr="00295B12" w:rsidRDefault="00295B12" w:rsidP="00295B12">
          <w:pPr>
            <w:rPr>
              <w:lang w:bidi="ar-SA"/>
            </w:rPr>
          </w:pPr>
          <w:bookmarkStart w:id="4" w:name="_GoBack"/>
          <w:bookmarkEnd w:id="4"/>
        </w:p>
        <w:p w:rsidR="00295B12" w:rsidRPr="00295B12" w:rsidRDefault="00295B12">
          <w:pPr>
            <w:pStyle w:val="1b"/>
            <w:tabs>
              <w:tab w:val="left" w:pos="440"/>
              <w:tab w:val="right" w:leader="dot" w:pos="9412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r w:rsidRPr="00295B12">
            <w:rPr>
              <w:rFonts w:ascii="Times New Roman" w:hAnsi="Times New Roman" w:cs="Times New Roman"/>
            </w:rPr>
            <w:fldChar w:fldCharType="begin"/>
          </w:r>
          <w:r w:rsidRPr="00295B12">
            <w:rPr>
              <w:rFonts w:ascii="Times New Roman" w:hAnsi="Times New Roman" w:cs="Times New Roman"/>
            </w:rPr>
            <w:instrText xml:space="preserve"> TOC \o "1-3" \h \z \u </w:instrText>
          </w:r>
          <w:r w:rsidRPr="00295B12">
            <w:rPr>
              <w:rFonts w:ascii="Times New Roman" w:hAnsi="Times New Roman" w:cs="Times New Roman"/>
            </w:rPr>
            <w:fldChar w:fldCharType="separate"/>
          </w:r>
          <w:hyperlink w:anchor="_Toc449225771" w:history="1">
            <w:r w:rsidRPr="00295B12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Pr="00295B1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Pr="00295B12">
              <w:rPr>
                <w:rStyle w:val="a3"/>
                <w:rFonts w:ascii="Times New Roman" w:hAnsi="Times New Roman" w:cs="Times New Roman"/>
                <w:noProof/>
              </w:rPr>
              <w:t>Общие положения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instrText xml:space="preserve"> PAGEREF _Toc449225771 \h </w:instrTex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5B12" w:rsidRPr="00295B12" w:rsidRDefault="00295B12">
          <w:pPr>
            <w:pStyle w:val="1b"/>
            <w:tabs>
              <w:tab w:val="left" w:pos="440"/>
              <w:tab w:val="right" w:leader="dot" w:pos="9412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449225772" w:history="1">
            <w:r w:rsidRPr="00295B12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Pr="00295B1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Pr="00295B12">
              <w:rPr>
                <w:rStyle w:val="a3"/>
                <w:rFonts w:ascii="Times New Roman" w:hAnsi="Times New Roman" w:cs="Times New Roman"/>
                <w:noProof/>
              </w:rPr>
              <w:t>Перевод студентов МГТУ им. Н.Э.Баумана с одной образовательной программы на другую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instrText xml:space="preserve"> PAGEREF _Toc449225772 \h </w:instrTex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5B12" w:rsidRPr="00295B12" w:rsidRDefault="00295B12">
          <w:pPr>
            <w:pStyle w:val="1b"/>
            <w:tabs>
              <w:tab w:val="left" w:pos="440"/>
              <w:tab w:val="right" w:leader="dot" w:pos="9412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449225773" w:history="1">
            <w:r w:rsidRPr="00295B12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Pr="00295B1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Pr="00295B12">
              <w:rPr>
                <w:rStyle w:val="a3"/>
                <w:rFonts w:ascii="Times New Roman" w:hAnsi="Times New Roman" w:cs="Times New Roman"/>
                <w:noProof/>
              </w:rPr>
              <w:t>Восстановление в МГТУ им. Н.Э.Баумана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instrText xml:space="preserve"> PAGEREF _Toc449225773 \h </w:instrTex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5B12" w:rsidRPr="00295B12" w:rsidRDefault="00295B12">
          <w:pPr>
            <w:pStyle w:val="1b"/>
            <w:tabs>
              <w:tab w:val="left" w:pos="440"/>
              <w:tab w:val="right" w:leader="dot" w:pos="9412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449225774" w:history="1">
            <w:r w:rsidRPr="00295B12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Pr="00295B1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Pr="00295B12">
              <w:rPr>
                <w:rStyle w:val="a3"/>
                <w:rFonts w:ascii="Times New Roman" w:hAnsi="Times New Roman" w:cs="Times New Roman"/>
                <w:noProof/>
              </w:rPr>
              <w:t>Перевод студентов-граждан России в МГТУ им. Н.Э.Баумана из других образовательных организаций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instrText xml:space="preserve"> PAGEREF _Toc449225774 \h </w:instrTex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5B12" w:rsidRPr="00295B12" w:rsidRDefault="00295B12">
          <w:pPr>
            <w:pStyle w:val="1b"/>
            <w:tabs>
              <w:tab w:val="left" w:pos="440"/>
              <w:tab w:val="right" w:leader="dot" w:pos="9412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449225775" w:history="1">
            <w:r w:rsidRPr="00295B12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Pr="00295B1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Pr="00295B12">
              <w:rPr>
                <w:rStyle w:val="a3"/>
                <w:rFonts w:ascii="Times New Roman" w:hAnsi="Times New Roman" w:cs="Times New Roman"/>
                <w:noProof/>
              </w:rPr>
              <w:t>Перевод студентов, признанных гражданами России, в МГТУ им. Н.Э.Баумана из других образовательных организаций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instrText xml:space="preserve"> PAGEREF _Toc449225775 \h </w:instrTex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5B12" w:rsidRPr="00295B12" w:rsidRDefault="00295B12">
          <w:pPr>
            <w:pStyle w:val="1b"/>
            <w:tabs>
              <w:tab w:val="left" w:pos="440"/>
              <w:tab w:val="right" w:leader="dot" w:pos="9412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449225776" w:history="1">
            <w:r w:rsidRPr="00295B12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Pr="00295B1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Pr="00295B12">
              <w:rPr>
                <w:rStyle w:val="a3"/>
                <w:rFonts w:ascii="Times New Roman" w:hAnsi="Times New Roman" w:cs="Times New Roman"/>
                <w:noProof/>
              </w:rPr>
              <w:t>Перевод студентов из других образовательных организаций в случае прекращения деятельности этих образовательных организаций.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instrText xml:space="preserve"> PAGEREF _Toc449225776 \h </w:instrTex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5B12" w:rsidRPr="00295B12" w:rsidRDefault="00295B12">
          <w:pPr>
            <w:pStyle w:val="1b"/>
            <w:tabs>
              <w:tab w:val="left" w:pos="440"/>
              <w:tab w:val="right" w:leader="dot" w:pos="9412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449225777" w:history="1">
            <w:r w:rsidRPr="00295B12">
              <w:rPr>
                <w:rStyle w:val="a3"/>
                <w:rFonts w:ascii="Times New Roman" w:hAnsi="Times New Roman" w:cs="Times New Roman"/>
                <w:noProof/>
              </w:rPr>
              <w:t>7.</w:t>
            </w:r>
            <w:r w:rsidRPr="00295B12">
              <w:rPr>
                <w:rFonts w:ascii="Times New Roman" w:eastAsiaTheme="minorEastAsia" w:hAnsi="Times New Roman" w:cs="Times New Roman"/>
                <w:noProof/>
                <w:color w:val="auto"/>
                <w:sz w:val="22"/>
                <w:szCs w:val="22"/>
                <w:lang w:bidi="ar-SA"/>
              </w:rPr>
              <w:tab/>
            </w:r>
            <w:r w:rsidRPr="00295B12">
              <w:rPr>
                <w:rStyle w:val="a3"/>
                <w:rFonts w:ascii="Times New Roman" w:hAnsi="Times New Roman" w:cs="Times New Roman"/>
                <w:noProof/>
              </w:rPr>
              <w:t>Процедура восстановления/перевода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instrText xml:space="preserve"> PAGEREF _Toc449225777 \h </w:instrTex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95B1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5B12" w:rsidRDefault="00295B12">
          <w:r w:rsidRPr="00295B1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1E5954" w:rsidRDefault="001E5954">
      <w:pPr>
        <w:rPr>
          <w:sz w:val="2"/>
          <w:szCs w:val="2"/>
        </w:rPr>
        <w:sectPr w:rsidR="001E5954">
          <w:footnotePr>
            <w:numFmt w:val="upperRoman"/>
            <w:numRestart w:val="eachPage"/>
          </w:footnotePr>
          <w:type w:val="continuous"/>
          <w:pgSz w:w="11900" w:h="16840"/>
          <w:pgMar w:top="1139" w:right="906" w:bottom="1172" w:left="1572" w:header="0" w:footer="3" w:gutter="0"/>
          <w:cols w:space="720"/>
          <w:noEndnote/>
          <w:docGrid w:linePitch="360"/>
        </w:sectPr>
      </w:pPr>
    </w:p>
    <w:p w:rsidR="001E5954" w:rsidRDefault="00416544">
      <w:pPr>
        <w:rPr>
          <w:sz w:val="2"/>
          <w:szCs w:val="2"/>
        </w:rPr>
      </w:pPr>
      <w:r>
        <w:t xml:space="preserve"> </w:t>
      </w:r>
    </w:p>
    <w:p w:rsidR="001E5954" w:rsidRDefault="001E5954">
      <w:pPr>
        <w:rPr>
          <w:sz w:val="2"/>
          <w:szCs w:val="2"/>
        </w:rPr>
        <w:sectPr w:rsidR="001E5954">
          <w:type w:val="continuous"/>
          <w:pgSz w:w="11900" w:h="16840"/>
          <w:pgMar w:top="5726" w:right="0" w:bottom="1187" w:left="0" w:header="0" w:footer="3" w:gutter="0"/>
          <w:cols w:space="720"/>
          <w:noEndnote/>
          <w:docGrid w:linePitch="360"/>
        </w:sectPr>
      </w:pPr>
    </w:p>
    <w:p w:rsidR="001E5954" w:rsidRDefault="00416544" w:rsidP="00A66870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spacing w:after="104" w:line="280" w:lineRule="exact"/>
        <w:ind w:left="740"/>
        <w:jc w:val="center"/>
        <w:outlineLvl w:val="0"/>
      </w:pPr>
      <w:bookmarkStart w:id="5" w:name="bookmark3"/>
      <w:bookmarkStart w:id="6" w:name="_Toc449225771"/>
      <w:r>
        <w:t>Общие положения</w:t>
      </w:r>
      <w:bookmarkEnd w:id="5"/>
      <w:bookmarkEnd w:id="6"/>
    </w:p>
    <w:p w:rsidR="001E5954" w:rsidRDefault="00416544">
      <w:pPr>
        <w:pStyle w:val="21"/>
        <w:numPr>
          <w:ilvl w:val="0"/>
          <w:numId w:val="2"/>
        </w:numPr>
        <w:shd w:val="clear" w:color="auto" w:fill="auto"/>
        <w:tabs>
          <w:tab w:val="left" w:pos="324"/>
        </w:tabs>
        <w:spacing w:before="0"/>
        <w:ind w:firstLine="0"/>
      </w:pPr>
      <w:r>
        <w:t>Настоящее Положение составлено на основании: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before="0"/>
        <w:ind w:left="740" w:hanging="340"/>
      </w:pPr>
      <w:r>
        <w:t xml:space="preserve">Федерального закона Российской Федерации от 29 декабря 2012 г. №273-ФЗ «Об образовании в Российской </w:t>
      </w:r>
      <w:r>
        <w:t>Федерации»,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before="0"/>
        <w:ind w:left="740" w:hanging="340"/>
      </w:pPr>
      <w:r>
        <w:t>Приказа Министерства образования и науки Российской Федерации от 14 августа 2013 г. №957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</w:t>
      </w:r>
      <w:r>
        <w:t xml:space="preserve">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</w:t>
      </w:r>
      <w:r>
        <w:t>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before="0" w:line="280" w:lineRule="exact"/>
        <w:ind w:left="740" w:hanging="340"/>
      </w:pPr>
      <w:r>
        <w:t>Письма Министерства образования и науки Российской Федерации от</w:t>
      </w:r>
    </w:p>
    <w:p w:rsidR="001E5954" w:rsidRDefault="00416544">
      <w:pPr>
        <w:pStyle w:val="21"/>
        <w:numPr>
          <w:ilvl w:val="0"/>
          <w:numId w:val="4"/>
        </w:numPr>
        <w:shd w:val="clear" w:color="auto" w:fill="auto"/>
        <w:tabs>
          <w:tab w:val="left" w:pos="2151"/>
        </w:tabs>
        <w:spacing w:before="0" w:line="280" w:lineRule="exact"/>
        <w:ind w:left="740" w:firstLine="0"/>
      </w:pPr>
      <w:r>
        <w:t>№АК-1533/05 «О зачислени</w:t>
      </w:r>
      <w:r>
        <w:t>и на обучение»,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before="0" w:line="280" w:lineRule="exact"/>
        <w:ind w:left="740" w:hanging="340"/>
      </w:pPr>
      <w:r>
        <w:t>Письма Министерства образования и науки Российской Федерации от</w:t>
      </w:r>
    </w:p>
    <w:p w:rsidR="001E5954" w:rsidRDefault="00416544">
      <w:pPr>
        <w:pStyle w:val="21"/>
        <w:numPr>
          <w:ilvl w:val="0"/>
          <w:numId w:val="5"/>
        </w:numPr>
        <w:shd w:val="clear" w:color="auto" w:fill="auto"/>
        <w:tabs>
          <w:tab w:val="left" w:pos="2155"/>
        </w:tabs>
        <w:spacing w:before="0" w:line="360" w:lineRule="exact"/>
        <w:ind w:left="740" w:firstLine="0"/>
      </w:pPr>
      <w:r>
        <w:lastRenderedPageBreak/>
        <w:t>№АК-1802/05 «О переводе иностранных граждан»,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before="0" w:line="360" w:lineRule="exact"/>
        <w:ind w:left="740" w:hanging="340"/>
      </w:pPr>
      <w:r>
        <w:t>Устава МГТУ им. Н.Э. Баумана,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92" w:line="360" w:lineRule="exact"/>
        <w:ind w:left="740" w:hanging="340"/>
      </w:pPr>
      <w:r>
        <w:t>Положения об аттестационных комиссиях МГТУ им. Н.Э.Баумана.</w:t>
      </w:r>
    </w:p>
    <w:p w:rsidR="001E5954" w:rsidRDefault="00416544">
      <w:pPr>
        <w:pStyle w:val="21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57" w:line="320" w:lineRule="exact"/>
        <w:ind w:firstLine="0"/>
      </w:pPr>
      <w:r>
        <w:t xml:space="preserve">Условия и порядок перевода и </w:t>
      </w:r>
      <w:r>
        <w:t>восстановления в МГТУ им. Н.Э. Баумана обеспечивают право гражданина Российской Федерации на получение высшего и среднего профессионального образования.</w:t>
      </w:r>
    </w:p>
    <w:p w:rsidR="001E5954" w:rsidRDefault="00416544">
      <w:pPr>
        <w:pStyle w:val="21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324" w:lineRule="exact"/>
        <w:ind w:firstLine="0"/>
        <w:sectPr w:rsidR="001E5954">
          <w:type w:val="continuous"/>
          <w:pgSz w:w="11900" w:h="16840"/>
          <w:pgMar w:top="5726" w:right="906" w:bottom="1187" w:left="1572" w:header="0" w:footer="3" w:gutter="0"/>
          <w:cols w:space="720"/>
          <w:noEndnote/>
          <w:docGrid w:linePitch="360"/>
        </w:sectPr>
      </w:pPr>
      <w:r>
        <w:t>Положение распространяется на лиц, обучавшихся до отчисления или перевода в образ</w:t>
      </w:r>
      <w:r>
        <w:t>овательных организациях, имеющих государственную лицензию на право осуществления образовательной деятельности.</w:t>
      </w:r>
    </w:p>
    <w:p w:rsidR="001E5954" w:rsidRDefault="00416544">
      <w:pPr>
        <w:pStyle w:val="21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60" w:line="322" w:lineRule="exact"/>
        <w:ind w:firstLine="0"/>
      </w:pPr>
      <w:r>
        <w:lastRenderedPageBreak/>
        <w:t>Перевод в МГТУ им. Н.Э.Баумана на аккредитованные направления подготовки (специальности) возможен только с аккредитованных направлений подготовки</w:t>
      </w:r>
      <w:r>
        <w:t xml:space="preserve"> (специальностей) других образовательных организаций.</w:t>
      </w:r>
    </w:p>
    <w:p w:rsidR="001E5954" w:rsidRDefault="00416544">
      <w:pPr>
        <w:pStyle w:val="21"/>
        <w:numPr>
          <w:ilvl w:val="0"/>
          <w:numId w:val="2"/>
        </w:numPr>
        <w:shd w:val="clear" w:color="auto" w:fill="auto"/>
        <w:tabs>
          <w:tab w:val="left" w:pos="352"/>
        </w:tabs>
        <w:spacing w:before="0" w:line="322" w:lineRule="exact"/>
        <w:ind w:firstLine="0"/>
      </w:pPr>
      <w:r>
        <w:t>Решение о возможности перевода или восстановления принимается коллегиально на заседании аттестационной комиссии факультета по переводам и восстановлениям. Аттестационная комиссия принимает решение об ос</w:t>
      </w:r>
      <w:r>
        <w:t>нове обучения, на которой может обучаться восстанавливающийся/переводящийся. На основании положительного решения аттестационной комиссии выпускается приказ ректора МГТУ им.</w:t>
      </w:r>
    </w:p>
    <w:p w:rsidR="001E5954" w:rsidRDefault="00416544">
      <w:pPr>
        <w:pStyle w:val="21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60" w:line="322" w:lineRule="exact"/>
        <w:ind w:left="400"/>
      </w:pPr>
      <w:r>
        <w:t>Э. Баумана.</w:t>
      </w:r>
    </w:p>
    <w:p w:rsidR="001E5954" w:rsidRDefault="00416544">
      <w:pPr>
        <w:pStyle w:val="21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405" w:line="322" w:lineRule="exact"/>
        <w:ind w:firstLine="0"/>
      </w:pPr>
      <w:r>
        <w:t>Аттестационные испытания проводятся аттестационными комиссиями в сроки,</w:t>
      </w:r>
      <w:r>
        <w:t xml:space="preserve"> устанавливаемые Правилами приема в МГТУ им. Н.Э. Баумана текущего года, как правило, с 5 июля по 20 июля — при зачислении на нечетный семестр обучения и с 21 января по 27 января следующего года — при зачислении на четный семестр. Аттестационные испытания </w:t>
      </w:r>
      <w:r>
        <w:t>могут проводиться в форме собеседования и/или анализа документов аттестационного дела.</w:t>
      </w:r>
    </w:p>
    <w:p w:rsidR="001E5954" w:rsidRDefault="00416544" w:rsidP="00A66870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967"/>
        </w:tabs>
        <w:spacing w:after="68" w:line="341" w:lineRule="exact"/>
        <w:ind w:left="640" w:right="2780"/>
        <w:jc w:val="right"/>
        <w:outlineLvl w:val="0"/>
      </w:pPr>
      <w:bookmarkStart w:id="7" w:name="bookmark4"/>
      <w:bookmarkStart w:id="8" w:name="_Toc449225772"/>
      <w:r>
        <w:t>Перевод студентов МГТУ им. Н.Э.Баумана с одной образовательной программы на другую</w:t>
      </w:r>
      <w:bookmarkEnd w:id="7"/>
      <w:bookmarkEnd w:id="8"/>
    </w:p>
    <w:p w:rsidR="001E5954" w:rsidRDefault="00416544">
      <w:pPr>
        <w:pStyle w:val="21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56" w:line="331" w:lineRule="exact"/>
        <w:ind w:left="400"/>
      </w:pPr>
      <w:r>
        <w:t>Перевод с одной образовательной программы на другую возможен в случае наличия вакантны</w:t>
      </w:r>
      <w:r>
        <w:t>х мест соответствующей основы обучения. При этом не могут быть изменены уровень и ступень образования, на которых проходит обучение студент.</w:t>
      </w:r>
    </w:p>
    <w:p w:rsidR="001E5954" w:rsidRDefault="00416544">
      <w:pPr>
        <w:pStyle w:val="21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60" w:line="336" w:lineRule="exact"/>
        <w:ind w:left="400"/>
      </w:pPr>
      <w:r>
        <w:t>Студент обязан подать личное заявление с просьбой о переводе с одной образовательной программы на другую, завизиров</w:t>
      </w:r>
      <w:r>
        <w:t>анное заведующим кафедрой и деканом факультета, на котором он обучается, а также заведующим кафедрой, на которой реализуется заявленная образовательная программа. В случае, когда студент завершил семестр в срок и имеет 75% и более оценок «отлично» без оцен</w:t>
      </w:r>
      <w:r>
        <w:t>ок «удовлетворительно», виза заведующего кафедрой и декана факультета, на котором он обучается, не требуется.</w:t>
      </w:r>
    </w:p>
    <w:p w:rsidR="001E5954" w:rsidRDefault="00416544">
      <w:pPr>
        <w:pStyle w:val="21"/>
        <w:numPr>
          <w:ilvl w:val="0"/>
          <w:numId w:val="7"/>
        </w:numPr>
        <w:shd w:val="clear" w:color="auto" w:fill="auto"/>
        <w:tabs>
          <w:tab w:val="left" w:pos="352"/>
        </w:tabs>
        <w:spacing w:before="0" w:line="336" w:lineRule="exact"/>
        <w:ind w:left="400"/>
      </w:pPr>
      <w:r>
        <w:t>Решение о переводе/отказе в переводе принимается аттестационной комиссией под председательством декана факультета (заведующего кафедрой «Юриспруде</w:t>
      </w:r>
      <w:r>
        <w:t>нция, интеллектуальная собственность и судебная экспертиза», директора МТКП), на который переводится студент на основании личного заявления студента и подготовленного ответственным за переводы и восстановления экспертного заключения о выявленных расхождени</w:t>
      </w:r>
      <w:r>
        <w:t>ях в учебных планах образовательных программ, подписанного переводящимся студентом.</w:t>
      </w:r>
    </w:p>
    <w:p w:rsidR="001E5954" w:rsidRDefault="00416544">
      <w:pPr>
        <w:pStyle w:val="2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585" w:line="336" w:lineRule="exact"/>
        <w:ind w:left="380" w:hanging="380"/>
      </w:pPr>
      <w:r>
        <w:t xml:space="preserve">Положительное решение о переводе на другую образовательную программу оформляется приказом первого проректора-проректора по учебной работе МГТУ им. Н.Э. Баумана с указанием </w:t>
      </w:r>
      <w:r>
        <w:t xml:space="preserve">срока сдачи, наименования и объема </w:t>
      </w:r>
      <w:r>
        <w:lastRenderedPageBreak/>
        <w:t>выявленных академических задолженностей, возникших вследствие перевода.</w:t>
      </w:r>
    </w:p>
    <w:p w:rsidR="001E5954" w:rsidRDefault="00416544" w:rsidP="00A66870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after="52" w:line="280" w:lineRule="exact"/>
        <w:ind w:left="640"/>
        <w:outlineLvl w:val="0"/>
      </w:pPr>
      <w:bookmarkStart w:id="9" w:name="bookmark5"/>
      <w:bookmarkStart w:id="10" w:name="_Toc449225773"/>
      <w:r>
        <w:t>Восстановление в МГТУ им. Н.Э.Баумана</w:t>
      </w:r>
      <w:bookmarkEnd w:id="9"/>
      <w:bookmarkEnd w:id="10"/>
    </w:p>
    <w:p w:rsidR="001E5954" w:rsidRDefault="00416544">
      <w:pPr>
        <w:pStyle w:val="21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60" w:line="336" w:lineRule="exact"/>
        <w:ind w:left="380" w:hanging="380"/>
      </w:pPr>
      <w:r>
        <w:t xml:space="preserve">Восстановлению в МГТУ им. Н.Э. Баумана подлежат ранее отчисленные из МГТУ им. Н.Э.Баумана студенты, полностью </w:t>
      </w:r>
      <w:r>
        <w:t>выполнившие учебный план не менее чем одного семестра.</w:t>
      </w:r>
    </w:p>
    <w:p w:rsidR="001E5954" w:rsidRDefault="00416544">
      <w:pPr>
        <w:pStyle w:val="21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60" w:line="336" w:lineRule="exact"/>
        <w:ind w:left="380" w:hanging="380"/>
      </w:pPr>
      <w:r>
        <w:t>Лицо, отчисленное из МГТУ им. Н.Э. Баумана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течение пя</w:t>
      </w:r>
      <w:r>
        <w:t>ти лет после отчисления при наличии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1E5954" w:rsidRDefault="00416544">
      <w:pPr>
        <w:pStyle w:val="21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60" w:line="336" w:lineRule="exact"/>
        <w:ind w:left="380" w:hanging="380"/>
      </w:pPr>
      <w:r>
        <w:t>В случае, если отчисление произошло по инициативе МГТУ им. Н.Э.Баумана, в</w:t>
      </w:r>
      <w:r>
        <w:t>осстановление, как правило, возможно только на платную основу обучения с заключением договора о предоставлении платных образовательных услуг.</w:t>
      </w:r>
    </w:p>
    <w:p w:rsidR="001E5954" w:rsidRDefault="00416544">
      <w:pPr>
        <w:pStyle w:val="21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60" w:line="336" w:lineRule="exact"/>
        <w:ind w:left="380" w:hanging="380"/>
      </w:pPr>
      <w:r>
        <w:t>В случае отсутствия мест, финансируемых из средств бюджета РФ, восстановление лиц, имеющих право на обучение на бю</w:t>
      </w:r>
      <w:r>
        <w:t>джетной основе, может быть произведено на родственную программу подготовки при условии минимальности расхождений в учебных планах с той, на которой ранее обучался восстанавливающийся.</w:t>
      </w:r>
    </w:p>
    <w:p w:rsidR="001E5954" w:rsidRDefault="00416544">
      <w:pPr>
        <w:pStyle w:val="21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480" w:line="336" w:lineRule="exact"/>
        <w:ind w:left="380" w:hanging="380"/>
      </w:pPr>
      <w:r>
        <w:t>Восстановление может производиться на семестр, следующий за последним, п</w:t>
      </w:r>
      <w:r>
        <w:t>олностью завершенным, или, при расхождениях учебных планов, на один либо два семестра ниже.</w:t>
      </w:r>
    </w:p>
    <w:p w:rsidR="001E5954" w:rsidRDefault="00416544" w:rsidP="00A66870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after="121" w:line="336" w:lineRule="exact"/>
        <w:ind w:left="640" w:right="720"/>
        <w:jc w:val="left"/>
        <w:outlineLvl w:val="0"/>
      </w:pPr>
      <w:bookmarkStart w:id="11" w:name="bookmark6"/>
      <w:bookmarkStart w:id="12" w:name="_Toc449225774"/>
      <w:r>
        <w:t>Перевод студентов-граждан России в МГТУ им. Н.Э.Баумана из других образовательных организаций</w:t>
      </w:r>
      <w:bookmarkEnd w:id="11"/>
      <w:bookmarkEnd w:id="12"/>
    </w:p>
    <w:p w:rsidR="001E5954" w:rsidRDefault="00416544">
      <w:pPr>
        <w:pStyle w:val="40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52" w:line="260" w:lineRule="exact"/>
        <w:ind w:left="380"/>
      </w:pPr>
      <w:r>
        <w:t>Переводу в МГТУ им. Н.Э. Баумана подлежат студенты:</w:t>
      </w:r>
    </w:p>
    <w:p w:rsidR="001E5954" w:rsidRDefault="00416544">
      <w:pPr>
        <w:pStyle w:val="21"/>
        <w:numPr>
          <w:ilvl w:val="0"/>
          <w:numId w:val="10"/>
        </w:numPr>
        <w:shd w:val="clear" w:color="auto" w:fill="auto"/>
        <w:tabs>
          <w:tab w:val="left" w:pos="976"/>
        </w:tabs>
        <w:spacing w:before="0" w:after="60" w:line="341" w:lineRule="exact"/>
        <w:ind w:left="1040" w:hanging="300"/>
      </w:pPr>
      <w:r>
        <w:t xml:space="preserve">полностью </w:t>
      </w:r>
      <w:r>
        <w:t>выполнившие учебный план не менее чем одного семестра,</w:t>
      </w:r>
    </w:p>
    <w:p w:rsidR="001E5954" w:rsidRDefault="00416544">
      <w:pPr>
        <w:pStyle w:val="21"/>
        <w:numPr>
          <w:ilvl w:val="0"/>
          <w:numId w:val="10"/>
        </w:numPr>
        <w:shd w:val="clear" w:color="auto" w:fill="auto"/>
        <w:tabs>
          <w:tab w:val="left" w:pos="976"/>
        </w:tabs>
        <w:spacing w:before="0" w:line="341" w:lineRule="exact"/>
        <w:ind w:left="1040" w:hanging="300"/>
      </w:pPr>
      <w:r>
        <w:t>обучающиеся на аккредитованных направлениях подготовки (специальностях) в имеющих государственную лицензию образовательных организациях Российской Федерации,</w:t>
      </w:r>
    </w:p>
    <w:p w:rsidR="001E5954" w:rsidRDefault="00416544">
      <w:pPr>
        <w:pStyle w:val="21"/>
        <w:shd w:val="clear" w:color="auto" w:fill="auto"/>
        <w:spacing w:before="0" w:after="68" w:line="346" w:lineRule="exact"/>
        <w:ind w:left="1020" w:hanging="280"/>
        <w:jc w:val="left"/>
      </w:pPr>
      <w:r>
        <w:t>■ имеющие постоянную (временную) регистраци</w:t>
      </w:r>
      <w:r>
        <w:t>ю в Москве или Московской области</w:t>
      </w:r>
      <w:r>
        <w:rPr>
          <w:vertAlign w:val="superscript"/>
        </w:rPr>
        <w:footnoteReference w:id="1"/>
      </w:r>
      <w:r>
        <w:t>.</w:t>
      </w:r>
    </w:p>
    <w:p w:rsidR="001E5954" w:rsidRDefault="00416544">
      <w:pPr>
        <w:pStyle w:val="21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60" w:line="336" w:lineRule="exact"/>
        <w:ind w:left="400"/>
      </w:pPr>
      <w:r>
        <w:t xml:space="preserve">Перевод осуществляется с сохранением основы обучения. В случае отсутствия мест, финансируемых из средств федерального бюджета, возможен перевод с бюджетной основы обучения студентов на платную </w:t>
      </w:r>
      <w:r>
        <w:lastRenderedPageBreak/>
        <w:t>основу обучения с заключени</w:t>
      </w:r>
      <w:r>
        <w:t>ем договора о предоставлении платных образовательных услуг.</w:t>
      </w:r>
    </w:p>
    <w:p w:rsidR="001E5954" w:rsidRDefault="00416544">
      <w:pPr>
        <w:pStyle w:val="21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60" w:line="336" w:lineRule="exact"/>
        <w:ind w:left="400"/>
      </w:pPr>
      <w:r>
        <w:t>В случае отсутствия мест, финансируемых из средств бюджета РФ, перевод лиц, имеющих право на обучение на бюджетной основе, может быть произведен на родственную программу подготовки при условии мин</w:t>
      </w:r>
      <w:r>
        <w:t>имальности расхождений в учебных планах с той, на которой ранее обучался переводящийся.</w:t>
      </w:r>
    </w:p>
    <w:p w:rsidR="001E5954" w:rsidRDefault="00416544">
      <w:pPr>
        <w:pStyle w:val="21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525" w:line="336" w:lineRule="exact"/>
        <w:ind w:left="400"/>
      </w:pPr>
      <w:r>
        <w:t>Перевод может производиться на семестр, следующий за последним полностью завершенным или, при расхождениях учебных планов, на один, либо два семестра ниже. При этом общ</w:t>
      </w:r>
      <w:r>
        <w:t>ий срок обучения не может превышать нормативного для данной программы подготовки на бюджетной основе более чем на 1 год.</w:t>
      </w:r>
    </w:p>
    <w:p w:rsidR="001E5954" w:rsidRDefault="00416544" w:rsidP="00295B12">
      <w:pPr>
        <w:pStyle w:val="70"/>
        <w:keepNext/>
        <w:keepLines/>
        <w:numPr>
          <w:ilvl w:val="0"/>
          <w:numId w:val="9"/>
        </w:numPr>
        <w:shd w:val="clear" w:color="auto" w:fill="auto"/>
        <w:tabs>
          <w:tab w:val="left" w:pos="962"/>
        </w:tabs>
        <w:spacing w:after="0" w:line="280" w:lineRule="exact"/>
        <w:ind w:firstLine="640"/>
        <w:outlineLvl w:val="0"/>
      </w:pPr>
      <w:bookmarkStart w:id="13" w:name="bookmark7"/>
      <w:bookmarkStart w:id="14" w:name="_Toc449225775"/>
      <w:r>
        <w:t>Перевод студентов, признанных гражданами России, в МГТУ им.</w:t>
      </w:r>
      <w:bookmarkStart w:id="15" w:name="bookmark8"/>
      <w:bookmarkEnd w:id="13"/>
      <w:r w:rsidR="00295B12" w:rsidRPr="00295B12">
        <w:t xml:space="preserve"> </w:t>
      </w:r>
      <w:r>
        <w:t>Н.Э.Баумана из других образовательных организаций</w:t>
      </w:r>
      <w:bookmarkEnd w:id="14"/>
      <w:bookmarkEnd w:id="15"/>
    </w:p>
    <w:p w:rsidR="001E5954" w:rsidRDefault="00416544">
      <w:pPr>
        <w:pStyle w:val="40"/>
        <w:shd w:val="clear" w:color="auto" w:fill="auto"/>
        <w:spacing w:before="0" w:after="0" w:line="312" w:lineRule="exact"/>
        <w:ind w:firstLine="640"/>
      </w:pPr>
      <w:r>
        <w:t xml:space="preserve">Перевод студентов, </w:t>
      </w:r>
      <w:r>
        <w:t>признанных гражданами России, в МГТУ им. Н.Э.Баумана из других образовательных организаций производится в соответствии с Письмом Министерства образования и науки Российской Федерации от</w:t>
      </w:r>
    </w:p>
    <w:p w:rsidR="001E5954" w:rsidRDefault="00416544">
      <w:pPr>
        <w:pStyle w:val="40"/>
        <w:numPr>
          <w:ilvl w:val="0"/>
          <w:numId w:val="11"/>
        </w:numPr>
        <w:shd w:val="clear" w:color="auto" w:fill="auto"/>
        <w:tabs>
          <w:tab w:val="left" w:pos="1310"/>
        </w:tabs>
        <w:spacing w:before="0" w:after="461" w:line="312" w:lineRule="exact"/>
        <w:ind w:firstLine="0"/>
      </w:pPr>
      <w:r>
        <w:t xml:space="preserve">№АК-1533/05 «О зачислении на обучение» согласно утвержденному Порядку </w:t>
      </w:r>
      <w:r>
        <w:t>приема на обучение лиц, признанных гражданами, которые обучались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</w:t>
      </w:r>
      <w:r>
        <w:t>ах иностранных образовательных организаций, не завершили освоение образовательных программ и были отчислены из них в 2014 году.</w:t>
      </w:r>
    </w:p>
    <w:p w:rsidR="001E5954" w:rsidRDefault="00416544" w:rsidP="00A66870">
      <w:pPr>
        <w:pStyle w:val="70"/>
        <w:keepNext/>
        <w:keepLines/>
        <w:numPr>
          <w:ilvl w:val="0"/>
          <w:numId w:val="9"/>
        </w:numPr>
        <w:shd w:val="clear" w:color="auto" w:fill="auto"/>
        <w:tabs>
          <w:tab w:val="left" w:pos="962"/>
        </w:tabs>
        <w:spacing w:after="75" w:line="336" w:lineRule="exact"/>
        <w:ind w:left="640"/>
        <w:jc w:val="left"/>
        <w:outlineLvl w:val="0"/>
      </w:pPr>
      <w:bookmarkStart w:id="16" w:name="bookmark9"/>
      <w:bookmarkStart w:id="17" w:name="_Toc449225776"/>
      <w:r>
        <w:t>Перевод студентов из других образовательных организаций в случае прекращения деятельности этих образовательных организаций.</w:t>
      </w:r>
      <w:bookmarkEnd w:id="16"/>
      <w:bookmarkEnd w:id="17"/>
    </w:p>
    <w:p w:rsidR="001E5954" w:rsidRDefault="00416544">
      <w:pPr>
        <w:pStyle w:val="21"/>
        <w:shd w:val="clear" w:color="auto" w:fill="auto"/>
        <w:spacing w:before="0" w:after="450" w:line="317" w:lineRule="exact"/>
        <w:ind w:firstLine="640"/>
      </w:pPr>
      <w:r>
        <w:t>Пере</w:t>
      </w:r>
      <w:r>
        <w:t>вод студентов из других образовательных организаций в случае прекращения деятельности этих образовательных организаций регламентируется приказом Министерства образования и науки Российской Федерации от 14 августа 2013 г. №957 «Об утверждении Порядка и усло</w:t>
      </w:r>
      <w:r>
        <w:t>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</w:t>
      </w:r>
      <w:r>
        <w:t>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</w:t>
      </w:r>
      <w:r>
        <w:t>ствующей образовательной программе».</w:t>
      </w:r>
    </w:p>
    <w:p w:rsidR="001E5954" w:rsidRDefault="00416544" w:rsidP="00A66870">
      <w:pPr>
        <w:pStyle w:val="70"/>
        <w:keepNext/>
        <w:keepLines/>
        <w:numPr>
          <w:ilvl w:val="0"/>
          <w:numId w:val="9"/>
        </w:numPr>
        <w:shd w:val="clear" w:color="auto" w:fill="auto"/>
        <w:tabs>
          <w:tab w:val="left" w:pos="962"/>
        </w:tabs>
        <w:spacing w:after="52" w:line="280" w:lineRule="exact"/>
        <w:ind w:left="640"/>
        <w:outlineLvl w:val="0"/>
      </w:pPr>
      <w:bookmarkStart w:id="18" w:name="bookmark10"/>
      <w:bookmarkStart w:id="19" w:name="_Toc449225777"/>
      <w:r>
        <w:lastRenderedPageBreak/>
        <w:t>Процедура восстановления/перевода</w:t>
      </w:r>
      <w:bookmarkEnd w:id="18"/>
      <w:bookmarkEnd w:id="19"/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336" w:lineRule="exact"/>
        <w:ind w:left="400"/>
      </w:pPr>
      <w:r>
        <w:t>МГТУ им. Н.Э. Баумана информирует о наличии мест бюджетной и платной основы обучения, для восстановления/перевода на которые могут подаваться заявления.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336" w:lineRule="exact"/>
        <w:ind w:left="400"/>
      </w:pPr>
      <w:r>
        <w:t>Факультеты МГТУ им. Н.Э. Баумана</w:t>
      </w:r>
      <w:r>
        <w:t xml:space="preserve"> определяют сроки подачи заявлений на восстановление/перевод и информируют о них.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331" w:lineRule="exact"/>
        <w:ind w:left="400"/>
      </w:pPr>
      <w:r>
        <w:t>Председатель аттестационной комиссии факультета определяет время проведения аттестации переводящихся/восстанавливающихся.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336" w:lineRule="exact"/>
        <w:ind w:left="400"/>
      </w:pPr>
      <w:r>
        <w:t>Студенты, желающие перевестись/восстановиться в МГТУ</w:t>
      </w:r>
      <w:r>
        <w:t xml:space="preserve"> им. Н.Э. Баумана, предъявляя документ, идентифицирующий их личность и гражданство, подают заявления о восстановлении по установленной форме в аттестационную комиссию вместе со следующими документами: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355" w:lineRule="exact"/>
        <w:ind w:left="760" w:hanging="360"/>
      </w:pPr>
      <w:r>
        <w:t>Копия зачетной книжки,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355" w:lineRule="exact"/>
        <w:ind w:left="760" w:hanging="360"/>
      </w:pPr>
      <w:r>
        <w:t>Копия учебной карточки,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1"/>
        </w:tabs>
        <w:spacing w:before="0" w:line="355" w:lineRule="exact"/>
        <w:ind w:left="760" w:hanging="360"/>
      </w:pPr>
      <w:r>
        <w:t xml:space="preserve">Копия </w:t>
      </w:r>
      <w:r>
        <w:t>свидетельства об аккредитации направления подготовки (специальности) образовательной организации, в которой ранее обучался переводящийся,</w:t>
      </w:r>
    </w:p>
    <w:p w:rsidR="001E5954" w:rsidRDefault="00416544">
      <w:pPr>
        <w:pStyle w:val="21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315" w:line="355" w:lineRule="exact"/>
        <w:ind w:left="760" w:hanging="360"/>
      </w:pPr>
      <w:r>
        <w:t>Копия лицензии образовательной организации, в которой ранее обучался переводящийся.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336" w:lineRule="exact"/>
        <w:ind w:left="400"/>
      </w:pPr>
      <w:r>
        <w:t>Ответственный за переводы и восста</w:t>
      </w:r>
      <w:r>
        <w:t>новления на факультете формирует аттестационное дело восстанавливающегося/переводящегося; далее, с консультациями кафедр Университета, составляет экспертное заключение о выявленных расхождениях в образовательных программах, информирует о времени и месте пр</w:t>
      </w:r>
      <w:r>
        <w:t>оведения аттестации восстанавливающихся/ переводящихся студентов.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336" w:lineRule="exact"/>
        <w:ind w:left="400"/>
      </w:pPr>
      <w:r>
        <w:t>Проводится заседание аттестационной комиссии факультета с целью определения наиболее подготовленных к продолжению обучения студентов из числа подавших заявления на восстановление/перевод. По</w:t>
      </w:r>
      <w:r>
        <w:t xml:space="preserve"> представленным документам и/или по собеседованию с восстанавливающимся/ переводящимся аттестационная комиссия:</w:t>
      </w:r>
    </w:p>
    <w:p w:rsidR="001E5954" w:rsidRDefault="00416544">
      <w:pPr>
        <w:pStyle w:val="21"/>
        <w:shd w:val="clear" w:color="auto" w:fill="auto"/>
        <w:spacing w:before="0" w:line="280" w:lineRule="exact"/>
        <w:ind w:left="760" w:firstLine="0"/>
        <w:jc w:val="left"/>
        <w:sectPr w:rsidR="001E5954">
          <w:pgSz w:w="11900" w:h="16840"/>
          <w:pgMar w:top="1158" w:right="774" w:bottom="1112" w:left="1666" w:header="0" w:footer="3" w:gutter="0"/>
          <w:cols w:space="720"/>
          <w:noEndnote/>
          <w:docGrid w:linePitch="360"/>
        </w:sectPr>
      </w:pPr>
      <w:r>
        <w:t>■ определяет уровень подготовки претендента,</w:t>
      </w:r>
    </w:p>
    <w:p w:rsidR="001E5954" w:rsidRDefault="00416544">
      <w:pPr>
        <w:pStyle w:val="21"/>
        <w:numPr>
          <w:ilvl w:val="0"/>
          <w:numId w:val="10"/>
        </w:numPr>
        <w:shd w:val="clear" w:color="auto" w:fill="auto"/>
        <w:tabs>
          <w:tab w:val="left" w:pos="1028"/>
        </w:tabs>
        <w:spacing w:before="0" w:line="349" w:lineRule="exact"/>
        <w:ind w:left="1020" w:hanging="280"/>
      </w:pPr>
      <w:r>
        <w:lastRenderedPageBreak/>
        <w:t xml:space="preserve">оценивает возможность ликвидации претендентом в нормативные сроки выявленных </w:t>
      </w:r>
      <w:r>
        <w:t>академических задолженностей,</w:t>
      </w:r>
    </w:p>
    <w:p w:rsidR="001E5954" w:rsidRDefault="00416544">
      <w:pPr>
        <w:pStyle w:val="21"/>
        <w:numPr>
          <w:ilvl w:val="0"/>
          <w:numId w:val="10"/>
        </w:numPr>
        <w:shd w:val="clear" w:color="auto" w:fill="auto"/>
        <w:tabs>
          <w:tab w:val="left" w:pos="1028"/>
        </w:tabs>
        <w:spacing w:before="0"/>
        <w:ind w:left="1020" w:hanging="280"/>
      </w:pPr>
      <w:r>
        <w:t>выносит решение о возможности/невозможности восстановления/ перевода на образовательную программу с обучением на заявленной основе.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38"/>
        </w:tabs>
        <w:spacing w:before="0"/>
        <w:ind w:left="380" w:hanging="380"/>
      </w:pPr>
      <w:r>
        <w:t xml:space="preserve">Ответственный за переводы и восстановления информирует о принятых решениях подавших заявления </w:t>
      </w:r>
      <w:r>
        <w:t>о восстановлении/переводе и сроках подачи документов, необходимых для оформления студенческих дел Управлением кадров. Решения аттестационной комиссии публикуются на информационном стенде факультета.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38"/>
        </w:tabs>
        <w:spacing w:before="0"/>
        <w:ind w:left="380" w:hanging="380"/>
      </w:pPr>
      <w:r>
        <w:t>Студентам других образовательных организаций, успешно про</w:t>
      </w:r>
      <w:r>
        <w:t>шедшим аттестацию, выдается соответствующая справка.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342" w:lineRule="exact"/>
        <w:ind w:left="380" w:hanging="380"/>
      </w:pPr>
      <w:r>
        <w:t>Ответственный за переводы и восстановления ведет протокол заседания аттестационной комиссии, оформляет протокол заседания аттестационной комиссии. Положительное решение аттестационной комиссии является о</w:t>
      </w:r>
      <w:r>
        <w:t>снованием для подготовки приказа ректора о восстановлении/переводе прошедших аттестацию студентов.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432"/>
        </w:tabs>
        <w:spacing w:before="0" w:line="335" w:lineRule="exact"/>
        <w:ind w:left="380" w:hanging="380"/>
      </w:pPr>
      <w:r>
        <w:t>Приказ ректора о восстановлении/переводе прошедших аттестацию студентов визируется согласно установленным правилам.</w:t>
      </w:r>
    </w:p>
    <w:p w:rsidR="001E5954" w:rsidRDefault="00416544">
      <w:pPr>
        <w:pStyle w:val="21"/>
        <w:numPr>
          <w:ilvl w:val="0"/>
          <w:numId w:val="12"/>
        </w:numPr>
        <w:shd w:val="clear" w:color="auto" w:fill="auto"/>
        <w:tabs>
          <w:tab w:val="left" w:pos="432"/>
        </w:tabs>
        <w:spacing w:before="0"/>
        <w:ind w:left="380" w:hanging="380"/>
        <w:sectPr w:rsidR="001E5954">
          <w:pgSz w:w="11900" w:h="16840"/>
          <w:pgMar w:top="1281" w:right="730" w:bottom="5927" w:left="1723" w:header="0" w:footer="3" w:gutter="0"/>
          <w:cols w:space="720"/>
          <w:noEndnote/>
          <w:docGrid w:linePitch="360"/>
        </w:sectPr>
      </w:pPr>
      <w:r>
        <w:t>После выхода приказа</w:t>
      </w:r>
      <w:r>
        <w:t>, сформированное на факультете дело комплектуется заявлением восстанавливающегося/переводящегося, аттестационным делом, другими необходимыми документами и передае</w:t>
      </w:r>
      <w:r w:rsidR="00A66870">
        <w:t>тся в студенческий отдел кадров</w:t>
      </w:r>
      <w:r w:rsidR="00A66870" w:rsidRPr="00A66870">
        <w:t>/</w:t>
      </w:r>
    </w:p>
    <w:p w:rsidR="001E5954" w:rsidRDefault="001E5954">
      <w:pPr>
        <w:rPr>
          <w:sz w:val="2"/>
          <w:szCs w:val="2"/>
        </w:rPr>
        <w:sectPr w:rsidR="001E5954">
          <w:type w:val="continuous"/>
          <w:pgSz w:w="11900" w:h="16840"/>
          <w:pgMar w:top="1266" w:right="730" w:bottom="1266" w:left="1723" w:header="0" w:footer="3" w:gutter="0"/>
          <w:cols w:space="720"/>
          <w:noEndnote/>
          <w:docGrid w:linePitch="360"/>
        </w:sectPr>
      </w:pPr>
    </w:p>
    <w:p w:rsidR="001E5954" w:rsidRDefault="001E5954" w:rsidP="00A66870">
      <w:pPr>
        <w:pStyle w:val="42"/>
        <w:keepNext/>
        <w:keepLines/>
        <w:shd w:val="clear" w:color="auto" w:fill="auto"/>
        <w:spacing w:line="320" w:lineRule="exact"/>
        <w:jc w:val="left"/>
      </w:pPr>
    </w:p>
    <w:sectPr w:rsidR="001E5954" w:rsidSect="00A66870">
      <w:footerReference w:type="default" r:id="rId8"/>
      <w:pgSz w:w="11900" w:h="16840"/>
      <w:pgMar w:top="1053" w:right="1053" w:bottom="1531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44" w:rsidRDefault="00416544">
      <w:r>
        <w:separator/>
      </w:r>
    </w:p>
  </w:endnote>
  <w:endnote w:type="continuationSeparator" w:id="0">
    <w:p w:rsidR="00416544" w:rsidRDefault="004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54" w:rsidRDefault="001E59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44" w:rsidRDefault="00416544">
      <w:r>
        <w:separator/>
      </w:r>
    </w:p>
  </w:footnote>
  <w:footnote w:type="continuationSeparator" w:id="0">
    <w:p w:rsidR="00416544" w:rsidRDefault="00416544">
      <w:r>
        <w:continuationSeparator/>
      </w:r>
    </w:p>
  </w:footnote>
  <w:footnote w:id="1">
    <w:p w:rsidR="001E5954" w:rsidRDefault="00416544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t xml:space="preserve"> В случае наличия мест в общежитии факультета, переводящемуся может быть предоставлено место в общежитии отдельным решением декана факультета.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A72"/>
    <w:multiLevelType w:val="multilevel"/>
    <w:tmpl w:val="B8CCE4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F36DC"/>
    <w:multiLevelType w:val="multilevel"/>
    <w:tmpl w:val="C0EC9C44"/>
    <w:lvl w:ilvl="0">
      <w:start w:val="2014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A000F"/>
    <w:multiLevelType w:val="multilevel"/>
    <w:tmpl w:val="E6F00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D2E31"/>
    <w:multiLevelType w:val="multilevel"/>
    <w:tmpl w:val="803876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33421"/>
    <w:multiLevelType w:val="multilevel"/>
    <w:tmpl w:val="022A5876"/>
    <w:lvl w:ilvl="0">
      <w:start w:val="2014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7152F3"/>
    <w:multiLevelType w:val="multilevel"/>
    <w:tmpl w:val="FDB00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E6DFD"/>
    <w:multiLevelType w:val="multilevel"/>
    <w:tmpl w:val="B936C63C"/>
    <w:lvl w:ilvl="0">
      <w:start w:val="2014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95003"/>
    <w:multiLevelType w:val="multilevel"/>
    <w:tmpl w:val="8A94DAE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706DE5"/>
    <w:multiLevelType w:val="multilevel"/>
    <w:tmpl w:val="859AD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470108"/>
    <w:multiLevelType w:val="multilevel"/>
    <w:tmpl w:val="7B26F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0D6D36"/>
    <w:multiLevelType w:val="multilevel"/>
    <w:tmpl w:val="F65E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9B6097"/>
    <w:multiLevelType w:val="multilevel"/>
    <w:tmpl w:val="96942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54"/>
    <w:rsid w:val="001E5954"/>
    <w:rsid w:val="00295B12"/>
    <w:rsid w:val="00416544"/>
    <w:rsid w:val="00A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B2FC1-D411-4D72-9653-FD3C866B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68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Заголовок №6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4ptExact">
    <w:name w:val="Заголовок №6 + Интервал 4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4pt">
    <w:name w:val="Заголовок №4 + Интервал 4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71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/>
      <w:iCs/>
      <w:smallCaps w:val="0"/>
      <w:strike w:val="0"/>
      <w:spacing w:val="10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главление 5 Знак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главление (2) + 12 pt;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главление (2) + Малые прописные"/>
    <w:basedOn w:val="5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6pt4pt">
    <w:name w:val="Основной текст (12) + Times New Roman;16 pt;Полужирный;Интервал 4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3pt">
    <w:name w:val="Основной текст (16) + Интервал 3 pt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Exact">
    <w:name w:val="Основной текст (3) + 14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1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2pt0">
    <w:name w:val="Основной текст (9) + 12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94pt">
    <w:name w:val="Основной текст (19) + Интервал 4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">
    <w:name w:val="Подпись к таблице (2) + 10 pt;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Подпись к таблице (2) + 10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1ptExact">
    <w:name w:val="Основной текст (20) + Интервал 1 pt Exact"/>
    <w:basedOn w:val="2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Exact0">
    <w:name w:val="Основной текст (21) + Полужирный;Не курсив Exact"/>
    <w:basedOn w:val="21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Exact">
    <w:name w:val="Заголовок №7 (3) Exact"/>
    <w:basedOn w:val="a0"/>
    <w:link w:val="7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Основной текст (12) + Курсив Exact"/>
    <w:basedOn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1">
    <w:name w:val="Основной текст (12) + Полужирный Exact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Exact1">
    <w:name w:val="Основной текст (21) + Не курсив Exact"/>
    <w:basedOn w:val="2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78"/>
      <w:szCs w:val="78"/>
      <w:u w:val="none"/>
    </w:rPr>
  </w:style>
  <w:style w:type="character" w:customStyle="1" w:styleId="22Exact">
    <w:name w:val="Основной текст (22) Exact"/>
    <w:basedOn w:val="a0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285ptExact">
    <w:name w:val="Основной текст (22) + 8;5 pt;Не курсив Exact"/>
    <w:basedOn w:val="220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3Exact">
    <w:name w:val="Основной текст (23) Exact"/>
    <w:basedOn w:val="a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4Exact">
    <w:name w:val="Основной текст (24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Exact">
    <w:name w:val="Основной текст (25) Exact"/>
    <w:basedOn w:val="a0"/>
    <w:link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FranklinGothicHeavy23ptExact">
    <w:name w:val="Основной текст (12) + Franklin Gothic Heavy;23 pt Exac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Exact0">
    <w:name w:val="Основной текст (20) + Не полужирный Exact"/>
    <w:basedOn w:val="2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Заголовок №5 Exact"/>
    <w:basedOn w:val="a0"/>
    <w:link w:val="5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220">
    <w:name w:val="Основной текст (22)_"/>
    <w:basedOn w:val="a0"/>
    <w:link w:val="221"/>
    <w:rPr>
      <w:rFonts w:ascii="Arial Narrow" w:eastAsia="Arial Narrow" w:hAnsi="Arial Narrow" w:cs="Arial Narro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40">
    <w:name w:val="Основной текст (24)_"/>
    <w:basedOn w:val="a0"/>
    <w:link w:val="2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0">
    <w:name w:val="Основной текст (23)_"/>
    <w:basedOn w:val="a0"/>
    <w:link w:val="23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3TimesNewRoman65pt">
    <w:name w:val="Основной текст (23) + Times New Roman;6;5 pt;Не 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Колонтитул_"/>
    <w:basedOn w:val="a0"/>
    <w:link w:val="ad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e">
    <w:name w:val="Колонтитул"/>
    <w:basedOn w:val="a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2pt">
    <w:name w:val="Основной текст (12) + 12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ind w:firstLine="6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line="421" w:lineRule="exact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1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6">
    <w:name w:val="Заголовок №6"/>
    <w:basedOn w:val="a"/>
    <w:link w:val="6Exact"/>
    <w:pPr>
      <w:shd w:val="clear" w:color="auto" w:fill="FFFFFF"/>
      <w:spacing w:after="30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38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3">
    <w:name w:val="Основной текст (7)"/>
    <w:basedOn w:val="a"/>
    <w:link w:val="71"/>
    <w:pPr>
      <w:shd w:val="clear" w:color="auto" w:fill="FFFFFF"/>
      <w:spacing w:before="180" w:line="283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0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52">
    <w:name w:val="toc 5"/>
    <w:basedOn w:val="a"/>
    <w:link w:val="51"/>
    <w:autoRedefine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360" w:line="0" w:lineRule="atLeast"/>
      <w:ind w:hanging="72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5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7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before="300" w:line="283" w:lineRule="exact"/>
      <w:jc w:val="both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730">
    <w:name w:val="Заголовок №7 (3)"/>
    <w:basedOn w:val="a"/>
    <w:link w:val="73Exact"/>
    <w:pPr>
      <w:shd w:val="clear" w:color="auto" w:fill="FFFFFF"/>
      <w:spacing w:after="300" w:line="0" w:lineRule="atLeast"/>
      <w:outlineLvl w:val="6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pacing w:val="-70"/>
      <w:sz w:val="78"/>
      <w:szCs w:val="7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6"/>
      <w:szCs w:val="1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240" w:line="0" w:lineRule="atLeast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after="180" w:line="0" w:lineRule="atLeast"/>
      <w:jc w:val="righ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54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60" w:line="0" w:lineRule="atLeast"/>
      <w:outlineLvl w:val="1"/>
    </w:pPr>
    <w:rPr>
      <w:rFonts w:ascii="Arial Narrow" w:eastAsia="Arial Narrow" w:hAnsi="Arial Narrow" w:cs="Arial Narrow"/>
      <w:b/>
      <w:bCs/>
      <w:spacing w:val="-10"/>
      <w:sz w:val="48"/>
      <w:szCs w:val="48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styleId="af">
    <w:name w:val="header"/>
    <w:basedOn w:val="a"/>
    <w:link w:val="af0"/>
    <w:uiPriority w:val="99"/>
    <w:unhideWhenUsed/>
    <w:rsid w:val="00A668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687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668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6687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6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A66870"/>
    <w:pPr>
      <w:widowControl/>
      <w:spacing w:line="259" w:lineRule="auto"/>
      <w:outlineLvl w:val="9"/>
    </w:pPr>
    <w:rPr>
      <w:lang w:bidi="ar-SA"/>
    </w:rPr>
  </w:style>
  <w:style w:type="paragraph" w:styleId="1b">
    <w:name w:val="toc 1"/>
    <w:basedOn w:val="a"/>
    <w:next w:val="a"/>
    <w:autoRedefine/>
    <w:uiPriority w:val="39"/>
    <w:unhideWhenUsed/>
    <w:rsid w:val="00A6687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85E9-4DFA-46B3-94C9-B754AB90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2016-04-23T22:36:00Z</dcterms:created>
  <dcterms:modified xsi:type="dcterms:W3CDTF">2016-04-23T22:49:00Z</dcterms:modified>
</cp:coreProperties>
</file>